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51F" w14:textId="77777777" w:rsidR="00E21947" w:rsidRPr="00B46BA3" w:rsidRDefault="00E21947" w:rsidP="00E21947">
      <w:pPr>
        <w:jc w:val="center"/>
        <w:rPr>
          <w:rFonts w:ascii="Calibri" w:hAnsi="Calibri" w:cs="Calibri"/>
          <w:smallCaps/>
          <w:sz w:val="20"/>
        </w:rPr>
      </w:pPr>
      <w:r>
        <w:rPr>
          <w:rFonts w:ascii="Calibri" w:eastAsia="Batang" w:hAnsi="Calibri" w:cs="Arial"/>
          <w:noProof/>
          <w:sz w:val="20"/>
          <w:lang w:eastAsia="fr-FR"/>
        </w:rPr>
        <w:drawing>
          <wp:inline distT="0" distB="0" distL="0" distR="0" wp14:anchorId="12B69FED" wp14:editId="0321F615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FC2FD" w14:textId="77777777" w:rsidR="00E21947" w:rsidRPr="00C7766B" w:rsidRDefault="00E21947" w:rsidP="00E21947">
      <w:pPr>
        <w:pBdr>
          <w:top w:val="single" w:sz="4" w:space="1" w:color="auto"/>
        </w:pBdr>
        <w:jc w:val="center"/>
        <w:rPr>
          <w:rFonts w:ascii="Calibri" w:eastAsia="Batang" w:hAnsi="Calibri" w:cs="Arial"/>
          <w:b/>
          <w:smallCaps/>
          <w:szCs w:val="24"/>
        </w:rPr>
      </w:pPr>
      <w:r w:rsidRPr="00D64084">
        <w:rPr>
          <w:rFonts w:eastAsia="Batang"/>
          <w:b/>
          <w:smallCaps/>
          <w:color w:val="333399"/>
          <w:szCs w:val="24"/>
        </w:rPr>
        <w:t xml:space="preserve">Direction des Affaires Immobilières et du Patrimoine (DAIP) </w:t>
      </w:r>
      <w:r>
        <w:rPr>
          <w:rFonts w:eastAsia="Batang"/>
          <w:b/>
          <w:smallCaps/>
          <w:color w:val="333399"/>
          <w:szCs w:val="24"/>
        </w:rPr>
        <w:t xml:space="preserve">- </w:t>
      </w:r>
      <w:r w:rsidRPr="00C7766B">
        <w:rPr>
          <w:rFonts w:ascii="Calibri" w:eastAsia="Batang" w:hAnsi="Calibri"/>
          <w:b/>
          <w:smallCaps/>
          <w:color w:val="333399"/>
          <w:szCs w:val="24"/>
        </w:rPr>
        <w:t>Département Audiovisuel</w:t>
      </w:r>
    </w:p>
    <w:p w14:paraId="54983DC0" w14:textId="77777777" w:rsidR="00E21947" w:rsidRPr="00D64084" w:rsidRDefault="00E21947" w:rsidP="00E21947">
      <w:pPr>
        <w:rPr>
          <w:rFonts w:eastAsia="Batang"/>
          <w:sz w:val="16"/>
          <w:szCs w:val="24"/>
        </w:rPr>
      </w:pPr>
    </w:p>
    <w:p w14:paraId="6F85C06B" w14:textId="77777777" w:rsidR="00E21947" w:rsidRPr="00D64084" w:rsidRDefault="00E21947" w:rsidP="00E2194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="Calibri"/>
          <w:b/>
          <w:bCs/>
          <w:iCs/>
          <w:caps/>
          <w:color w:val="333399"/>
          <w:sz w:val="16"/>
          <w:szCs w:val="16"/>
          <w:lang w:eastAsia="ar-SA"/>
        </w:rPr>
      </w:pPr>
    </w:p>
    <w:p w14:paraId="0F4B8C9E" w14:textId="704258B1" w:rsidR="003B2E53" w:rsidRPr="003B2E53" w:rsidRDefault="00EB500B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  <w:r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>MONTEE DE VERSION DES EQUIPEMENTS RIEDEL DE L’ASSEMBLEE NATIONALE</w:t>
      </w:r>
    </w:p>
    <w:p w14:paraId="605E3CDF" w14:textId="77777777" w:rsidR="003B2E53" w:rsidRPr="003B2E53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</w:p>
    <w:p w14:paraId="3074F218" w14:textId="73CAB744" w:rsidR="00BD0AEF" w:rsidRPr="00B4733A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  <w:r w:rsidRPr="003B2E53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 xml:space="preserve">MARCHÉ </w:t>
      </w:r>
      <w:r w:rsidR="00EB500B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>25F113</w:t>
      </w:r>
    </w:p>
    <w:p w14:paraId="226F6985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272FCA17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6F68A5BA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1CAAB474" w14:textId="77777777" w:rsidR="00E21947" w:rsidRDefault="00E21947" w:rsidP="00E21947">
      <w:pPr>
        <w:jc w:val="center"/>
        <w:rPr>
          <w:b/>
          <w:sz w:val="36"/>
          <w:szCs w:val="36"/>
        </w:rPr>
      </w:pPr>
      <w:r w:rsidRPr="00E21947">
        <w:rPr>
          <w:b/>
          <w:sz w:val="36"/>
          <w:szCs w:val="36"/>
        </w:rPr>
        <w:t>Cadre de réponse technique relatif à la garantie </w:t>
      </w:r>
    </w:p>
    <w:p w14:paraId="5BD97E8F" w14:textId="61B95B0A" w:rsidR="00E21947" w:rsidRDefault="00E21947" w:rsidP="00E219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définie</w:t>
      </w:r>
      <w:r w:rsidRPr="00E21947">
        <w:rPr>
          <w:b/>
          <w:sz w:val="36"/>
          <w:szCs w:val="36"/>
        </w:rPr>
        <w:t xml:space="preserve"> à l’article </w:t>
      </w:r>
      <w:r w:rsidR="003B2E53">
        <w:rPr>
          <w:b/>
          <w:sz w:val="36"/>
          <w:szCs w:val="36"/>
        </w:rPr>
        <w:t>5</w:t>
      </w:r>
      <w:r w:rsidRPr="00E21947">
        <w:rPr>
          <w:b/>
          <w:sz w:val="36"/>
          <w:szCs w:val="36"/>
        </w:rPr>
        <w:t xml:space="preserve"> du CCTP</w:t>
      </w:r>
    </w:p>
    <w:p w14:paraId="41D92B89" w14:textId="77777777" w:rsidR="00E21947" w:rsidRDefault="00E21947" w:rsidP="00E21947">
      <w:pPr>
        <w:rPr>
          <w:b/>
          <w:sz w:val="36"/>
          <w:szCs w:val="36"/>
        </w:rPr>
      </w:pPr>
    </w:p>
    <w:p w14:paraId="4367FCB6" w14:textId="77777777" w:rsidR="00E21947" w:rsidRDefault="00E21947" w:rsidP="00E21947">
      <w:pPr>
        <w:spacing w:before="240" w:after="120" w:line="240" w:lineRule="auto"/>
        <w:jc w:val="both"/>
        <w:rPr>
          <w:b/>
          <w:sz w:val="24"/>
          <w:szCs w:val="24"/>
        </w:rPr>
      </w:pPr>
    </w:p>
    <w:p w14:paraId="0756B913" w14:textId="47C075C2" w:rsidR="00E21947" w:rsidRPr="00E21947" w:rsidRDefault="00E21947" w:rsidP="00E21947">
      <w:pPr>
        <w:spacing w:before="240" w:after="120" w:line="240" w:lineRule="auto"/>
        <w:jc w:val="both"/>
        <w:rPr>
          <w:sz w:val="24"/>
          <w:szCs w:val="24"/>
        </w:rPr>
      </w:pPr>
      <w:r w:rsidRPr="00E21947">
        <w:rPr>
          <w:sz w:val="24"/>
          <w:szCs w:val="24"/>
        </w:rPr>
        <w:t xml:space="preserve">Les garanties minimales attendues sont définies à l’article </w:t>
      </w:r>
      <w:r w:rsidR="003B2E53">
        <w:rPr>
          <w:sz w:val="24"/>
          <w:szCs w:val="24"/>
        </w:rPr>
        <w:t>5</w:t>
      </w:r>
      <w:r w:rsidRPr="00E21947">
        <w:rPr>
          <w:sz w:val="24"/>
          <w:szCs w:val="24"/>
        </w:rPr>
        <w:t xml:space="preserve"> du CCTP. </w:t>
      </w:r>
    </w:p>
    <w:p w14:paraId="2506B10C" w14:textId="07071FD4" w:rsidR="00E21947" w:rsidRDefault="00E21947" w:rsidP="00E21947">
      <w:pPr>
        <w:spacing w:before="240" w:after="120" w:line="240" w:lineRule="auto"/>
        <w:jc w:val="both"/>
        <w:rPr>
          <w:sz w:val="24"/>
          <w:szCs w:val="24"/>
        </w:rPr>
      </w:pPr>
      <w:r w:rsidRPr="00E21947">
        <w:rPr>
          <w:sz w:val="24"/>
          <w:szCs w:val="24"/>
        </w:rPr>
        <w:t xml:space="preserve">Il est demandé aux candidats de </w:t>
      </w:r>
      <w:r w:rsidR="00DC24CE">
        <w:rPr>
          <w:sz w:val="24"/>
          <w:szCs w:val="24"/>
        </w:rPr>
        <w:t>compléter</w:t>
      </w:r>
      <w:r w:rsidRPr="00E21947">
        <w:rPr>
          <w:sz w:val="24"/>
          <w:szCs w:val="24"/>
        </w:rPr>
        <w:t xml:space="preserve"> </w:t>
      </w:r>
      <w:r w:rsidR="00533244">
        <w:rPr>
          <w:sz w:val="24"/>
          <w:szCs w:val="24"/>
        </w:rPr>
        <w:t>ce cadre de réponse technique</w:t>
      </w:r>
      <w:r w:rsidRPr="00E21947">
        <w:rPr>
          <w:sz w:val="24"/>
          <w:szCs w:val="24"/>
        </w:rPr>
        <w:t>. Leur</w:t>
      </w:r>
      <w:r w:rsidR="00DC24CE">
        <w:rPr>
          <w:sz w:val="24"/>
          <w:szCs w:val="24"/>
        </w:rPr>
        <w:t>s</w:t>
      </w:r>
      <w:r w:rsidRPr="00E21947">
        <w:rPr>
          <w:sz w:val="24"/>
          <w:szCs w:val="24"/>
        </w:rPr>
        <w:t xml:space="preserve"> réponse</w:t>
      </w:r>
      <w:r w:rsidR="00DC24CE">
        <w:rPr>
          <w:sz w:val="24"/>
          <w:szCs w:val="24"/>
        </w:rPr>
        <w:t>s serviront à</w:t>
      </w:r>
      <w:r w:rsidRPr="00E21947">
        <w:rPr>
          <w:sz w:val="24"/>
          <w:szCs w:val="24"/>
        </w:rPr>
        <w:t xml:space="preserve"> la notation du sous-critère </w:t>
      </w:r>
      <w:r w:rsidR="003B2E53">
        <w:rPr>
          <w:sz w:val="24"/>
          <w:szCs w:val="24"/>
        </w:rPr>
        <w:t>d</w:t>
      </w:r>
      <w:r w:rsidR="00BF0067">
        <w:rPr>
          <w:sz w:val="24"/>
          <w:szCs w:val="24"/>
        </w:rPr>
        <w:t>)</w:t>
      </w:r>
      <w:r w:rsidRPr="00E21947">
        <w:rPr>
          <w:sz w:val="24"/>
          <w:szCs w:val="24"/>
        </w:rPr>
        <w:t xml:space="preserve"> « Modalités de garantie » du critère </w:t>
      </w:r>
      <w:r w:rsidR="00BF0067">
        <w:rPr>
          <w:sz w:val="24"/>
          <w:szCs w:val="24"/>
        </w:rPr>
        <w:t>1</w:t>
      </w:r>
      <w:r w:rsidRPr="00E21947">
        <w:rPr>
          <w:sz w:val="24"/>
          <w:szCs w:val="24"/>
        </w:rPr>
        <w:t xml:space="preserve"> « Valeur technique de l’offre ».</w:t>
      </w:r>
    </w:p>
    <w:p w14:paraId="72BCDB04" w14:textId="77777777" w:rsidR="00554219" w:rsidRPr="00442066" w:rsidRDefault="00554219" w:rsidP="00554219">
      <w:pPr>
        <w:rPr>
          <w:b/>
          <w:sz w:val="24"/>
          <w:szCs w:val="24"/>
          <w:u w:val="single"/>
        </w:rPr>
        <w:sectPr w:rsidR="00554219" w:rsidRPr="00442066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42066">
        <w:rPr>
          <w:b/>
          <w:sz w:val="24"/>
          <w:szCs w:val="24"/>
          <w:u w:val="single"/>
        </w:rPr>
        <w:t>Attentio</w:t>
      </w:r>
      <w:bookmarkStart w:id="0" w:name="_GoBack"/>
      <w:bookmarkEnd w:id="0"/>
      <w:r w:rsidRPr="00442066">
        <w:rPr>
          <w:b/>
          <w:sz w:val="24"/>
          <w:szCs w:val="24"/>
          <w:u w:val="single"/>
        </w:rPr>
        <w:t xml:space="preserve">n : le candidat doit remplir les </w:t>
      </w:r>
      <w:r>
        <w:rPr>
          <w:b/>
          <w:sz w:val="24"/>
          <w:szCs w:val="24"/>
          <w:u w:val="single"/>
        </w:rPr>
        <w:t>deux</w:t>
      </w:r>
      <w:r w:rsidRPr="00442066">
        <w:rPr>
          <w:b/>
          <w:sz w:val="24"/>
          <w:szCs w:val="24"/>
          <w:u w:val="single"/>
        </w:rPr>
        <w:t xml:space="preserve"> rubriques du présent cadre de réponse</w:t>
      </w:r>
    </w:p>
    <w:p w14:paraId="2670B000" w14:textId="77777777" w:rsidR="00554219" w:rsidRDefault="00554219" w:rsidP="00554219">
      <w:pPr>
        <w:pStyle w:val="Paragraphedeliste"/>
        <w:numPr>
          <w:ilvl w:val="0"/>
          <w:numId w:val="2"/>
        </w:numPr>
        <w:jc w:val="both"/>
      </w:pPr>
      <w:r w:rsidRPr="00BB0220">
        <w:rPr>
          <w:u w:val="single"/>
        </w:rPr>
        <w:lastRenderedPageBreak/>
        <w:t>Pendant la période de garantie courant à compter de la réception</w:t>
      </w:r>
      <w:r>
        <w:t>, les modalités et les délais d’intervention du candidat en cas de panne ou problème impliquant une exploitation en mode dégradé seraient les suivants :</w:t>
      </w:r>
    </w:p>
    <w:p w14:paraId="624ECF72" w14:textId="77777777" w:rsidR="00E21947" w:rsidRDefault="00E21947" w:rsidP="00E21947"/>
    <w:tbl>
      <w:tblPr>
        <w:tblW w:w="143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653"/>
        <w:gridCol w:w="1461"/>
        <w:gridCol w:w="2543"/>
        <w:gridCol w:w="2296"/>
        <w:gridCol w:w="4768"/>
      </w:tblGrid>
      <w:tr w:rsidR="00386737" w14:paraId="6F91EA5C" w14:textId="77777777" w:rsidTr="00386737">
        <w:trPr>
          <w:trHeight w:val="1282"/>
          <w:jc w:val="center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93E48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Modalité d’ouverture du ticket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F8EB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Jours et horaires de disponibilité du support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8220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Délai de prise en compte du ticket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DAB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Si pertinent, délai d’intervention à distance après prise en compte du ticket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C10C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Délai d’intervention sur site après prise en compte du ticket</w:t>
            </w:r>
          </w:p>
        </w:tc>
        <w:tc>
          <w:tcPr>
            <w:tcW w:w="4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C2631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Si le problème ne peut être résolu ou que la panne nécessite un envoi au SAV, délai de prêt d’un matériel équivalent</w:t>
            </w:r>
            <w:r w:rsidR="00386737">
              <w:rPr>
                <w:b/>
              </w:rPr>
              <w:t>,</w:t>
            </w:r>
            <w:r w:rsidRPr="00386737">
              <w:rPr>
                <w:b/>
              </w:rPr>
              <w:t xml:space="preserve"> après prise en compte du ticket</w:t>
            </w:r>
          </w:p>
        </w:tc>
      </w:tr>
      <w:tr w:rsidR="00386737" w14:paraId="4FCC74A0" w14:textId="77777777" w:rsidTr="00386737">
        <w:trPr>
          <w:trHeight w:val="6163"/>
          <w:jc w:val="center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ACFA" w14:textId="77777777" w:rsidR="00E21947" w:rsidRDefault="00E21947"/>
          <w:p w14:paraId="5270DFD7" w14:textId="77777777" w:rsidR="00E21947" w:rsidRDefault="00E21947"/>
          <w:p w14:paraId="4F481FF5" w14:textId="77777777" w:rsidR="00E21947" w:rsidRDefault="00E21947"/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EE694" w14:textId="77777777" w:rsidR="00E21947" w:rsidRDefault="00E21947"/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076CE" w14:textId="77777777" w:rsidR="00E21947" w:rsidRDefault="00E21947"/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AC222" w14:textId="77777777" w:rsidR="00E21947" w:rsidRDefault="00E21947"/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7195" w14:textId="77777777" w:rsidR="00E21947" w:rsidRDefault="00E21947"/>
        </w:tc>
        <w:tc>
          <w:tcPr>
            <w:tcW w:w="4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5C29" w14:textId="77777777" w:rsidR="00E21947" w:rsidRDefault="00E21947"/>
        </w:tc>
      </w:tr>
    </w:tbl>
    <w:p w14:paraId="71A2EEF8" w14:textId="4C1CC126" w:rsidR="00E21947" w:rsidRDefault="00E21947" w:rsidP="00E21947"/>
    <w:p w14:paraId="2C8AF9A9" w14:textId="77777777" w:rsidR="00554219" w:rsidRDefault="00554219" w:rsidP="00554219">
      <w:pPr>
        <w:pStyle w:val="Paragraphedeliste"/>
        <w:numPr>
          <w:ilvl w:val="0"/>
          <w:numId w:val="2"/>
        </w:numPr>
      </w:pPr>
      <w:r>
        <w:lastRenderedPageBreak/>
        <w:t xml:space="preserve">Liste des matériels proposés et durée de la </w:t>
      </w:r>
      <w:r w:rsidRPr="00442066">
        <w:rPr>
          <w:u w:val="single"/>
        </w:rPr>
        <w:t>garantie</w:t>
      </w:r>
      <w:r>
        <w:t xml:space="preserve"> constructeur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80"/>
        <w:gridCol w:w="4761"/>
        <w:gridCol w:w="4753"/>
      </w:tblGrid>
      <w:tr w:rsidR="00554219" w14:paraId="7D367B6F" w14:textId="77777777" w:rsidTr="00AC4CDA">
        <w:tc>
          <w:tcPr>
            <w:tcW w:w="4480" w:type="dxa"/>
          </w:tcPr>
          <w:p w14:paraId="6A98A3F4" w14:textId="77777777" w:rsidR="00554219" w:rsidRDefault="00554219" w:rsidP="00AC4CDA">
            <w:r>
              <w:t>Fournisseur</w:t>
            </w:r>
          </w:p>
        </w:tc>
        <w:tc>
          <w:tcPr>
            <w:tcW w:w="4761" w:type="dxa"/>
          </w:tcPr>
          <w:p w14:paraId="7CD6C67E" w14:textId="77777777" w:rsidR="00554219" w:rsidRDefault="00554219" w:rsidP="00AC4CDA">
            <w:r>
              <w:t>Matériel</w:t>
            </w:r>
          </w:p>
        </w:tc>
        <w:tc>
          <w:tcPr>
            <w:tcW w:w="4753" w:type="dxa"/>
          </w:tcPr>
          <w:p w14:paraId="5689BD78" w14:textId="77777777" w:rsidR="00554219" w:rsidRDefault="00554219" w:rsidP="00AC4CDA">
            <w:r>
              <w:t>Durée de garantie</w:t>
            </w:r>
          </w:p>
        </w:tc>
      </w:tr>
      <w:tr w:rsidR="00554219" w14:paraId="077B5D58" w14:textId="77777777" w:rsidTr="00AC4CDA">
        <w:tc>
          <w:tcPr>
            <w:tcW w:w="4480" w:type="dxa"/>
          </w:tcPr>
          <w:p w14:paraId="2E2A3F2C" w14:textId="77777777" w:rsidR="00554219" w:rsidRDefault="00554219" w:rsidP="00AC4CDA"/>
        </w:tc>
        <w:tc>
          <w:tcPr>
            <w:tcW w:w="4761" w:type="dxa"/>
          </w:tcPr>
          <w:p w14:paraId="25C6398D" w14:textId="77777777" w:rsidR="00554219" w:rsidRDefault="00554219" w:rsidP="00AC4CDA"/>
        </w:tc>
        <w:tc>
          <w:tcPr>
            <w:tcW w:w="4753" w:type="dxa"/>
          </w:tcPr>
          <w:p w14:paraId="409AA366" w14:textId="77777777" w:rsidR="00554219" w:rsidRDefault="00554219" w:rsidP="00AC4CDA"/>
        </w:tc>
      </w:tr>
      <w:tr w:rsidR="00554219" w14:paraId="353A88A1" w14:textId="77777777" w:rsidTr="00AC4CDA">
        <w:tc>
          <w:tcPr>
            <w:tcW w:w="4480" w:type="dxa"/>
          </w:tcPr>
          <w:p w14:paraId="22B8B1EB" w14:textId="77777777" w:rsidR="00554219" w:rsidRDefault="00554219" w:rsidP="00AC4CDA"/>
        </w:tc>
        <w:tc>
          <w:tcPr>
            <w:tcW w:w="4761" w:type="dxa"/>
          </w:tcPr>
          <w:p w14:paraId="228E39A6" w14:textId="77777777" w:rsidR="00554219" w:rsidRDefault="00554219" w:rsidP="00AC4CDA"/>
        </w:tc>
        <w:tc>
          <w:tcPr>
            <w:tcW w:w="4753" w:type="dxa"/>
          </w:tcPr>
          <w:p w14:paraId="45464E66" w14:textId="77777777" w:rsidR="00554219" w:rsidRDefault="00554219" w:rsidP="00AC4CDA"/>
        </w:tc>
      </w:tr>
      <w:tr w:rsidR="00554219" w14:paraId="12C5D04C" w14:textId="77777777" w:rsidTr="00AC4CDA">
        <w:tc>
          <w:tcPr>
            <w:tcW w:w="4480" w:type="dxa"/>
          </w:tcPr>
          <w:p w14:paraId="21985FB5" w14:textId="77777777" w:rsidR="00554219" w:rsidRDefault="00554219" w:rsidP="00AC4CDA"/>
        </w:tc>
        <w:tc>
          <w:tcPr>
            <w:tcW w:w="4761" w:type="dxa"/>
          </w:tcPr>
          <w:p w14:paraId="6D9C66B6" w14:textId="77777777" w:rsidR="00554219" w:rsidRDefault="00554219" w:rsidP="00AC4CDA"/>
        </w:tc>
        <w:tc>
          <w:tcPr>
            <w:tcW w:w="4753" w:type="dxa"/>
          </w:tcPr>
          <w:p w14:paraId="241D4AA8" w14:textId="77777777" w:rsidR="00554219" w:rsidRDefault="00554219" w:rsidP="00AC4CDA"/>
        </w:tc>
      </w:tr>
      <w:tr w:rsidR="00554219" w14:paraId="09E534BB" w14:textId="77777777" w:rsidTr="00AC4CDA">
        <w:tc>
          <w:tcPr>
            <w:tcW w:w="4480" w:type="dxa"/>
          </w:tcPr>
          <w:p w14:paraId="49D4AF1A" w14:textId="77777777" w:rsidR="00554219" w:rsidRDefault="00554219" w:rsidP="00AC4CDA"/>
        </w:tc>
        <w:tc>
          <w:tcPr>
            <w:tcW w:w="4761" w:type="dxa"/>
          </w:tcPr>
          <w:p w14:paraId="7F4E5AD3" w14:textId="77777777" w:rsidR="00554219" w:rsidRDefault="00554219" w:rsidP="00AC4CDA"/>
        </w:tc>
        <w:tc>
          <w:tcPr>
            <w:tcW w:w="4753" w:type="dxa"/>
          </w:tcPr>
          <w:p w14:paraId="7BFF3D72" w14:textId="77777777" w:rsidR="00554219" w:rsidRDefault="00554219" w:rsidP="00AC4CDA"/>
        </w:tc>
      </w:tr>
      <w:tr w:rsidR="00554219" w14:paraId="7BCB432F" w14:textId="77777777" w:rsidTr="00AC4CDA">
        <w:tc>
          <w:tcPr>
            <w:tcW w:w="4480" w:type="dxa"/>
          </w:tcPr>
          <w:p w14:paraId="39249638" w14:textId="77777777" w:rsidR="00554219" w:rsidRDefault="00554219" w:rsidP="00AC4CDA"/>
        </w:tc>
        <w:tc>
          <w:tcPr>
            <w:tcW w:w="4761" w:type="dxa"/>
          </w:tcPr>
          <w:p w14:paraId="4BA3A33B" w14:textId="77777777" w:rsidR="00554219" w:rsidRDefault="00554219" w:rsidP="00AC4CDA"/>
        </w:tc>
        <w:tc>
          <w:tcPr>
            <w:tcW w:w="4753" w:type="dxa"/>
          </w:tcPr>
          <w:p w14:paraId="5FB9F3CF" w14:textId="77777777" w:rsidR="00554219" w:rsidRDefault="00554219" w:rsidP="00AC4CDA"/>
        </w:tc>
      </w:tr>
      <w:tr w:rsidR="00554219" w14:paraId="246A0F4B" w14:textId="77777777" w:rsidTr="00AC4CDA">
        <w:tc>
          <w:tcPr>
            <w:tcW w:w="4480" w:type="dxa"/>
          </w:tcPr>
          <w:p w14:paraId="3FDD4CFF" w14:textId="77777777" w:rsidR="00554219" w:rsidRDefault="00554219" w:rsidP="00AC4CDA"/>
        </w:tc>
        <w:tc>
          <w:tcPr>
            <w:tcW w:w="4761" w:type="dxa"/>
          </w:tcPr>
          <w:p w14:paraId="27DFB445" w14:textId="77777777" w:rsidR="00554219" w:rsidRDefault="00554219" w:rsidP="00AC4CDA"/>
        </w:tc>
        <w:tc>
          <w:tcPr>
            <w:tcW w:w="4753" w:type="dxa"/>
          </w:tcPr>
          <w:p w14:paraId="4C13888B" w14:textId="77777777" w:rsidR="00554219" w:rsidRDefault="00554219" w:rsidP="00AC4CDA"/>
        </w:tc>
      </w:tr>
      <w:tr w:rsidR="00554219" w14:paraId="209E103A" w14:textId="77777777" w:rsidTr="00AC4CDA">
        <w:tc>
          <w:tcPr>
            <w:tcW w:w="4480" w:type="dxa"/>
          </w:tcPr>
          <w:p w14:paraId="13D97F13" w14:textId="77777777" w:rsidR="00554219" w:rsidRDefault="00554219" w:rsidP="00AC4CDA"/>
        </w:tc>
        <w:tc>
          <w:tcPr>
            <w:tcW w:w="4761" w:type="dxa"/>
          </w:tcPr>
          <w:p w14:paraId="19ECB2AD" w14:textId="77777777" w:rsidR="00554219" w:rsidRDefault="00554219" w:rsidP="00AC4CDA"/>
        </w:tc>
        <w:tc>
          <w:tcPr>
            <w:tcW w:w="4753" w:type="dxa"/>
          </w:tcPr>
          <w:p w14:paraId="288F6839" w14:textId="77777777" w:rsidR="00554219" w:rsidRDefault="00554219" w:rsidP="00AC4CDA"/>
        </w:tc>
      </w:tr>
    </w:tbl>
    <w:p w14:paraId="6AE1396A" w14:textId="77777777" w:rsidR="00554219" w:rsidRDefault="00554219" w:rsidP="00554219"/>
    <w:p w14:paraId="062A9DC8" w14:textId="77777777" w:rsidR="00554219" w:rsidRDefault="00554219" w:rsidP="00E21947"/>
    <w:sectPr w:rsidR="00554219" w:rsidSect="005437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8F62D" w14:textId="77777777" w:rsidR="003546BA" w:rsidRDefault="003546BA">
      <w:pPr>
        <w:spacing w:after="0" w:line="240" w:lineRule="auto"/>
      </w:pPr>
      <w:r>
        <w:separator/>
      </w:r>
    </w:p>
  </w:endnote>
  <w:endnote w:type="continuationSeparator" w:id="0">
    <w:p w14:paraId="64AD5AD8" w14:textId="77777777" w:rsidR="003546BA" w:rsidRDefault="00354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570312"/>
      <w:docPartObj>
        <w:docPartGallery w:val="Page Numbers (Bottom of Page)"/>
        <w:docPartUnique/>
      </w:docPartObj>
    </w:sdtPr>
    <w:sdtEndPr/>
    <w:sdtContent>
      <w:p w14:paraId="522B0E81" w14:textId="3374E1A5" w:rsidR="004975BC" w:rsidRDefault="0055421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00B">
          <w:rPr>
            <w:noProof/>
          </w:rPr>
          <w:t>1</w:t>
        </w:r>
        <w:r>
          <w:fldChar w:fldCharType="end"/>
        </w:r>
      </w:p>
    </w:sdtContent>
  </w:sdt>
  <w:p w14:paraId="58D853FD" w14:textId="3CDA380A" w:rsidR="004975BC" w:rsidRDefault="003546BA">
    <w:pPr>
      <w:pStyle w:val="Pieddepage"/>
    </w:pPr>
    <w:r>
      <w:fldChar w:fldCharType="begin"/>
    </w:r>
    <w:r>
      <w:instrText xml:space="preserve"> FILENAME \* MERGEFORMAT </w:instrText>
    </w:r>
    <w:r>
      <w:fldChar w:fldCharType="separate"/>
    </w:r>
    <w:r w:rsidR="00786CEC">
      <w:rPr>
        <w:noProof/>
      </w:rPr>
      <w:t>Cadre_reponse_garantie_</w:t>
    </w:r>
    <w:r w:rsidR="00EB500B">
      <w:rPr>
        <w:noProof/>
      </w:rPr>
      <w:t>25F113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89122" w14:textId="77777777" w:rsidR="003546BA" w:rsidRDefault="003546BA">
      <w:pPr>
        <w:spacing w:after="0" w:line="240" w:lineRule="auto"/>
      </w:pPr>
      <w:r>
        <w:separator/>
      </w:r>
    </w:p>
  </w:footnote>
  <w:footnote w:type="continuationSeparator" w:id="0">
    <w:p w14:paraId="360E7113" w14:textId="77777777" w:rsidR="003546BA" w:rsidRDefault="00354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2A10"/>
    <w:multiLevelType w:val="multilevel"/>
    <w:tmpl w:val="F9C216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tabs>
          <w:tab w:val="num" w:pos="2988"/>
        </w:tabs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1" w15:restartNumberingAfterBreak="0">
    <w:nsid w:val="2AF828A5"/>
    <w:multiLevelType w:val="hybridMultilevel"/>
    <w:tmpl w:val="26CE25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374C6"/>
    <w:multiLevelType w:val="hybridMultilevel"/>
    <w:tmpl w:val="976C79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47"/>
    <w:rsid w:val="00210E7B"/>
    <w:rsid w:val="002806E0"/>
    <w:rsid w:val="003546BA"/>
    <w:rsid w:val="00386737"/>
    <w:rsid w:val="003B2E53"/>
    <w:rsid w:val="00424A71"/>
    <w:rsid w:val="004E56A5"/>
    <w:rsid w:val="00533244"/>
    <w:rsid w:val="00543750"/>
    <w:rsid w:val="00554219"/>
    <w:rsid w:val="00786CEC"/>
    <w:rsid w:val="008A6861"/>
    <w:rsid w:val="00A4249B"/>
    <w:rsid w:val="00B20630"/>
    <w:rsid w:val="00BA090A"/>
    <w:rsid w:val="00BD0AEF"/>
    <w:rsid w:val="00BF0067"/>
    <w:rsid w:val="00C6173B"/>
    <w:rsid w:val="00C70FF1"/>
    <w:rsid w:val="00DC24CE"/>
    <w:rsid w:val="00E03B2E"/>
    <w:rsid w:val="00E21947"/>
    <w:rsid w:val="00E27BC0"/>
    <w:rsid w:val="00EB500B"/>
    <w:rsid w:val="00F40A49"/>
    <w:rsid w:val="00F9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83125"/>
  <w15:chartTrackingRefBased/>
  <w15:docId w15:val="{304D595E-4AE1-4C05-956F-1E751F9D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rsid w:val="00E21947"/>
    <w:rPr>
      <w:sz w:val="16"/>
      <w:szCs w:val="16"/>
    </w:rPr>
  </w:style>
  <w:style w:type="paragraph" w:styleId="Commentaire">
    <w:name w:val="annotation text"/>
    <w:basedOn w:val="Normal"/>
    <w:link w:val="CommentaireCar"/>
    <w:rsid w:val="00E21947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E21947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94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0FF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0FF1"/>
    <w:rPr>
      <w:rFonts w:ascii="Arial Narrow" w:eastAsia="Times New Roman" w:hAnsi="Arial Narrow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54219"/>
    <w:pPr>
      <w:ind w:left="720"/>
      <w:contextualSpacing/>
    </w:pPr>
  </w:style>
  <w:style w:type="table" w:styleId="Grilledutableau">
    <w:name w:val="Table Grid"/>
    <w:basedOn w:val="TableauNormal"/>
    <w:uiPriority w:val="39"/>
    <w:rsid w:val="00554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5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219"/>
  </w:style>
  <w:style w:type="paragraph" w:styleId="En-tte">
    <w:name w:val="header"/>
    <w:basedOn w:val="Normal"/>
    <w:link w:val="En-tteCar"/>
    <w:uiPriority w:val="99"/>
    <w:unhideWhenUsed/>
    <w:rsid w:val="00786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CC6CD-B4E3-4F0D-918F-E9B8DC89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Eysseric</dc:creator>
  <cp:keywords/>
  <dc:description/>
  <cp:lastModifiedBy>Gabriel Testu de Balincourt</cp:lastModifiedBy>
  <cp:revision>2</cp:revision>
  <dcterms:created xsi:type="dcterms:W3CDTF">2026-01-14T09:37:00Z</dcterms:created>
  <dcterms:modified xsi:type="dcterms:W3CDTF">2026-01-14T09:37:00Z</dcterms:modified>
</cp:coreProperties>
</file>